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EF19" w14:textId="77777777" w:rsidR="00AB7B28" w:rsidRPr="002D2A32" w:rsidRDefault="00AB7B28" w:rsidP="00AB7B28">
      <w:pPr>
        <w:pStyle w:val="NoSpacing"/>
        <w:jc w:val="center"/>
        <w:rPr>
          <w:sz w:val="24"/>
          <w:szCs w:val="24"/>
        </w:rPr>
      </w:pPr>
      <w:r w:rsidRPr="002D2A32">
        <w:rPr>
          <w:sz w:val="24"/>
          <w:szCs w:val="24"/>
        </w:rPr>
        <w:t>ASCC Social and Behavioral Sciences Panel</w:t>
      </w:r>
    </w:p>
    <w:p w14:paraId="6F7657FD" w14:textId="74C20F6A" w:rsidR="00AB7B28" w:rsidRPr="002D2A32" w:rsidRDefault="003D5E9F" w:rsidP="00AB7B28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0C5A4E">
        <w:rPr>
          <w:sz w:val="24"/>
          <w:szCs w:val="24"/>
        </w:rPr>
        <w:t>pp</w:t>
      </w:r>
      <w:r w:rsidR="006A285E">
        <w:rPr>
          <w:sz w:val="24"/>
          <w:szCs w:val="24"/>
        </w:rPr>
        <w:t>rov</w:t>
      </w:r>
      <w:r w:rsidR="000C5A4E">
        <w:rPr>
          <w:sz w:val="24"/>
          <w:szCs w:val="24"/>
        </w:rPr>
        <w:t>ed</w:t>
      </w:r>
      <w:r w:rsidR="00AB7B28" w:rsidRPr="002D2A32">
        <w:rPr>
          <w:sz w:val="24"/>
          <w:szCs w:val="24"/>
        </w:rPr>
        <w:t xml:space="preserve"> Minutes</w:t>
      </w:r>
    </w:p>
    <w:p w14:paraId="2A1A70CF" w14:textId="5E38FDBC" w:rsidR="00AB7B28" w:rsidRPr="002D2A32" w:rsidRDefault="00AB7B28" w:rsidP="00AB7B28">
      <w:pPr>
        <w:rPr>
          <w:sz w:val="24"/>
          <w:szCs w:val="24"/>
        </w:rPr>
      </w:pPr>
      <w:r w:rsidRPr="002D2A32">
        <w:rPr>
          <w:sz w:val="24"/>
          <w:szCs w:val="24"/>
        </w:rPr>
        <w:t>Tuesday, March 22, 2022</w:t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  <w:t xml:space="preserve">  </w:t>
      </w:r>
      <w:r w:rsidR="0004185B" w:rsidRPr="002D2A32">
        <w:rPr>
          <w:sz w:val="24"/>
          <w:szCs w:val="24"/>
        </w:rPr>
        <w:t xml:space="preserve">   </w:t>
      </w:r>
      <w:r w:rsidRPr="002D2A32">
        <w:rPr>
          <w:sz w:val="24"/>
          <w:szCs w:val="24"/>
        </w:rPr>
        <w:t>3:00</w:t>
      </w:r>
      <w:r w:rsidR="00491977">
        <w:rPr>
          <w:sz w:val="24"/>
          <w:szCs w:val="24"/>
        </w:rPr>
        <w:t xml:space="preserve"> </w:t>
      </w:r>
      <w:r w:rsidRPr="002D2A32">
        <w:rPr>
          <w:sz w:val="24"/>
          <w:szCs w:val="24"/>
        </w:rPr>
        <w:t>PM – 4:30 PM</w:t>
      </w:r>
    </w:p>
    <w:p w14:paraId="53667E41" w14:textId="77777777" w:rsidR="00AB7B28" w:rsidRPr="002D2A32" w:rsidRDefault="00AB7B28" w:rsidP="00AB7B28">
      <w:pPr>
        <w:rPr>
          <w:sz w:val="24"/>
          <w:szCs w:val="24"/>
        </w:rPr>
      </w:pPr>
      <w:r w:rsidRPr="002D2A32">
        <w:rPr>
          <w:sz w:val="24"/>
          <w:szCs w:val="24"/>
        </w:rPr>
        <w:t>CarmenZoom</w:t>
      </w:r>
    </w:p>
    <w:p w14:paraId="1E066147" w14:textId="1AB9AD9E" w:rsidR="00AB7B28" w:rsidRPr="002D2A32" w:rsidRDefault="00AB7B28" w:rsidP="00AB7B28">
      <w:pPr>
        <w:rPr>
          <w:sz w:val="24"/>
          <w:szCs w:val="24"/>
        </w:rPr>
      </w:pPr>
      <w:r w:rsidRPr="002D2A32">
        <w:rPr>
          <w:b/>
          <w:bCs/>
          <w:sz w:val="24"/>
          <w:szCs w:val="24"/>
        </w:rPr>
        <w:t>Attendees</w:t>
      </w:r>
      <w:r w:rsidRPr="002D2A32">
        <w:rPr>
          <w:sz w:val="24"/>
          <w:szCs w:val="24"/>
        </w:rPr>
        <w:t xml:space="preserve">: </w:t>
      </w:r>
      <w:r w:rsidR="0004185B" w:rsidRPr="002D2A32">
        <w:rPr>
          <w:sz w:val="24"/>
          <w:szCs w:val="24"/>
        </w:rPr>
        <w:t xml:space="preserve"> </w:t>
      </w:r>
      <w:r w:rsidRPr="002D2A32">
        <w:rPr>
          <w:sz w:val="24"/>
          <w:szCs w:val="24"/>
        </w:rPr>
        <w:t xml:space="preserve">Cody, Coleman, </w:t>
      </w:r>
      <w:r w:rsidR="000F3037">
        <w:rPr>
          <w:sz w:val="24"/>
          <w:szCs w:val="24"/>
        </w:rPr>
        <w:t xml:space="preserve">Guada, </w:t>
      </w:r>
      <w:r w:rsidRPr="002D2A32">
        <w:rPr>
          <w:sz w:val="24"/>
          <w:szCs w:val="24"/>
        </w:rPr>
        <w:t>Nathanson, Smith, Steele, Valle, Vankeerbergen, Vasey</w:t>
      </w:r>
    </w:p>
    <w:p w14:paraId="7519F940" w14:textId="4886307D" w:rsidR="002845F1" w:rsidRPr="002D2A32" w:rsidRDefault="00AB7B28" w:rsidP="002845F1">
      <w:pPr>
        <w:rPr>
          <w:b/>
          <w:bCs/>
          <w:sz w:val="24"/>
          <w:szCs w:val="24"/>
        </w:rPr>
      </w:pPr>
      <w:r w:rsidRPr="002D2A32">
        <w:rPr>
          <w:b/>
          <w:bCs/>
          <w:sz w:val="24"/>
          <w:szCs w:val="24"/>
        </w:rPr>
        <w:t>Agenda:</w:t>
      </w:r>
    </w:p>
    <w:p w14:paraId="007BF215" w14:textId="1E2CD7DE" w:rsidR="002845F1" w:rsidRPr="002D2A32" w:rsidRDefault="002845F1" w:rsidP="002845F1">
      <w:pPr>
        <w:numPr>
          <w:ilvl w:val="0"/>
          <w:numId w:val="2"/>
        </w:numPr>
        <w:rPr>
          <w:sz w:val="24"/>
          <w:szCs w:val="24"/>
        </w:rPr>
      </w:pPr>
      <w:r w:rsidRPr="002D2A32">
        <w:rPr>
          <w:sz w:val="24"/>
          <w:szCs w:val="24"/>
        </w:rPr>
        <w:t>Approval of 3-1-22 minutes</w:t>
      </w:r>
    </w:p>
    <w:p w14:paraId="3962179F" w14:textId="6C1353EC" w:rsidR="002845F1" w:rsidRPr="002D2A32" w:rsidRDefault="0071788E" w:rsidP="002845F1">
      <w:pPr>
        <w:numPr>
          <w:ilvl w:val="1"/>
          <w:numId w:val="2"/>
        </w:numPr>
        <w:rPr>
          <w:sz w:val="24"/>
          <w:szCs w:val="24"/>
        </w:rPr>
      </w:pPr>
      <w:r w:rsidRPr="002D2A32">
        <w:rPr>
          <w:sz w:val="24"/>
          <w:szCs w:val="24"/>
        </w:rPr>
        <w:t xml:space="preserve">Guada, Nathanson; </w:t>
      </w:r>
      <w:r w:rsidRPr="002D2A32">
        <w:rPr>
          <w:b/>
          <w:bCs/>
          <w:sz w:val="24"/>
          <w:szCs w:val="24"/>
        </w:rPr>
        <w:t>unanimously approved</w:t>
      </w:r>
    </w:p>
    <w:p w14:paraId="2E02BD69" w14:textId="1D4B6765" w:rsidR="002845F1" w:rsidRPr="002D2A32" w:rsidRDefault="002845F1" w:rsidP="002845F1">
      <w:pPr>
        <w:numPr>
          <w:ilvl w:val="0"/>
          <w:numId w:val="2"/>
        </w:numPr>
        <w:rPr>
          <w:sz w:val="24"/>
          <w:szCs w:val="24"/>
        </w:rPr>
      </w:pPr>
      <w:r w:rsidRPr="002D2A32">
        <w:rPr>
          <w:sz w:val="24"/>
          <w:szCs w:val="24"/>
        </w:rPr>
        <w:t>Econ 4001.01 (existing course requesting 100% DL)</w:t>
      </w:r>
    </w:p>
    <w:p w14:paraId="70CA5CF4" w14:textId="65BA7E32" w:rsidR="002845F1" w:rsidRPr="002D2A32" w:rsidRDefault="00301A14" w:rsidP="002845F1">
      <w:pPr>
        <w:numPr>
          <w:ilvl w:val="1"/>
          <w:numId w:val="2"/>
        </w:numPr>
        <w:rPr>
          <w:sz w:val="24"/>
          <w:szCs w:val="24"/>
        </w:rPr>
      </w:pPr>
      <w:r w:rsidRPr="002D2A32">
        <w:rPr>
          <w:b/>
          <w:bCs/>
          <w:sz w:val="24"/>
          <w:szCs w:val="24"/>
        </w:rPr>
        <w:t xml:space="preserve">The Panel requests that the syllabus explicitly state that the course will take place synchronously.  At present, there is language in the “how this class works” section </w:t>
      </w:r>
      <w:r w:rsidR="0010761C" w:rsidRPr="002D2A32">
        <w:rPr>
          <w:b/>
          <w:bCs/>
          <w:sz w:val="24"/>
          <w:szCs w:val="24"/>
        </w:rPr>
        <w:t>implying that meetings will occur synchronously</w:t>
      </w:r>
      <w:r w:rsidRPr="002D2A32">
        <w:rPr>
          <w:b/>
          <w:bCs/>
          <w:sz w:val="24"/>
          <w:szCs w:val="24"/>
        </w:rPr>
        <w:t>, but</w:t>
      </w:r>
      <w:r w:rsidR="003177FB" w:rsidRPr="002D2A32">
        <w:rPr>
          <w:b/>
          <w:bCs/>
          <w:sz w:val="24"/>
          <w:szCs w:val="24"/>
        </w:rPr>
        <w:t xml:space="preserve"> the document</w:t>
      </w:r>
      <w:r w:rsidRPr="002D2A32">
        <w:rPr>
          <w:b/>
          <w:bCs/>
          <w:sz w:val="24"/>
          <w:szCs w:val="24"/>
        </w:rPr>
        <w:t xml:space="preserve"> does not articulate </w:t>
      </w:r>
      <w:r w:rsidR="005948FF" w:rsidRPr="002D2A32">
        <w:rPr>
          <w:b/>
          <w:bCs/>
          <w:sz w:val="24"/>
          <w:szCs w:val="24"/>
        </w:rPr>
        <w:t>this</w:t>
      </w:r>
      <w:r w:rsidRPr="002D2A32">
        <w:rPr>
          <w:b/>
          <w:bCs/>
          <w:sz w:val="24"/>
          <w:szCs w:val="24"/>
        </w:rPr>
        <w:t xml:space="preserve"> information directly.  </w:t>
      </w:r>
    </w:p>
    <w:p w14:paraId="2B8F2827" w14:textId="7B2FDAC0" w:rsidR="005F5F5D" w:rsidRPr="002D2A32" w:rsidRDefault="00DD2E6F" w:rsidP="002845F1">
      <w:pPr>
        <w:numPr>
          <w:ilvl w:val="1"/>
          <w:numId w:val="2"/>
        </w:numPr>
        <w:rPr>
          <w:sz w:val="24"/>
          <w:szCs w:val="24"/>
        </w:rPr>
      </w:pPr>
      <w:r w:rsidRPr="002D2A32">
        <w:rPr>
          <w:b/>
          <w:bCs/>
          <w:sz w:val="24"/>
          <w:szCs w:val="24"/>
        </w:rPr>
        <w:t xml:space="preserve">The Panel asks for clarification regarding the textbook(s) assigned for the course.  Please identify </w:t>
      </w:r>
      <w:r w:rsidR="00EC49DB" w:rsidRPr="002D2A32">
        <w:rPr>
          <w:b/>
          <w:bCs/>
          <w:sz w:val="24"/>
          <w:szCs w:val="24"/>
        </w:rPr>
        <w:t xml:space="preserve">by title, clearly indicating on the syllabus class schedule which textbook corresponds with each reading assignment.  </w:t>
      </w:r>
    </w:p>
    <w:p w14:paraId="5FD1D3D7" w14:textId="4FA10BAD" w:rsidR="007A01E2" w:rsidRPr="002D2A32" w:rsidRDefault="002B1E10" w:rsidP="002845F1">
      <w:pPr>
        <w:numPr>
          <w:ilvl w:val="1"/>
          <w:numId w:val="2"/>
        </w:numPr>
        <w:rPr>
          <w:sz w:val="24"/>
          <w:szCs w:val="24"/>
        </w:rPr>
      </w:pPr>
      <w:r w:rsidRPr="002D2A32">
        <w:rPr>
          <w:b/>
          <w:bCs/>
          <w:sz w:val="24"/>
          <w:szCs w:val="24"/>
        </w:rPr>
        <w:t>Please provide information in the syllabus re: how students earn their participation grade in the course.</w:t>
      </w:r>
    </w:p>
    <w:p w14:paraId="1E99CF94" w14:textId="7555B7AF" w:rsidR="007A01E2" w:rsidRPr="002D2A32" w:rsidRDefault="003D454E" w:rsidP="002845F1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Panel requests that the dates for the quizzes appear on the class schedule.  </w:t>
      </w:r>
    </w:p>
    <w:p w14:paraId="1A783C36" w14:textId="0D6D8570" w:rsidR="00DD2821" w:rsidRPr="002D2A32" w:rsidRDefault="00EF6230" w:rsidP="00EF6230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2D2A32">
        <w:rPr>
          <w:rFonts w:eastAsia="Times New Roman"/>
          <w:b/>
          <w:bCs/>
          <w:color w:val="000000"/>
          <w:sz w:val="24"/>
          <w:szCs w:val="24"/>
        </w:rPr>
        <w:t xml:space="preserve">The Panel asks that the department include the most up-to-date version of the University’s Title IX statement, which can be found here: </w:t>
      </w:r>
      <w:hyperlink r:id="rId5" w:history="1">
        <w:r w:rsidRPr="002D2A32">
          <w:rPr>
            <w:rStyle w:val="Hyperlink"/>
            <w:rFonts w:eastAsia="Times New Roman"/>
            <w:b/>
            <w:bCs/>
            <w:sz w:val="24"/>
            <w:szCs w:val="24"/>
          </w:rPr>
          <w:t>https://asccas.osu.edu/curriculum/syllabus-elements</w:t>
        </w:r>
      </w:hyperlink>
    </w:p>
    <w:p w14:paraId="45A12660" w14:textId="340DEE79" w:rsidR="00DD2821" w:rsidRPr="002D2A32" w:rsidRDefault="00DD2821" w:rsidP="002845F1">
      <w:pPr>
        <w:numPr>
          <w:ilvl w:val="1"/>
          <w:numId w:val="2"/>
        </w:numPr>
        <w:rPr>
          <w:sz w:val="24"/>
          <w:szCs w:val="24"/>
        </w:rPr>
      </w:pPr>
      <w:r w:rsidRPr="002D2A32">
        <w:rPr>
          <w:sz w:val="24"/>
          <w:szCs w:val="24"/>
        </w:rPr>
        <w:t>Vasey, Guada;</w:t>
      </w:r>
      <w:r w:rsidR="00276ACF" w:rsidRPr="002D2A32">
        <w:rPr>
          <w:sz w:val="24"/>
          <w:szCs w:val="24"/>
        </w:rPr>
        <w:t xml:space="preserve"> </w:t>
      </w:r>
      <w:r w:rsidR="00276ACF" w:rsidRPr="002D2A32">
        <w:rPr>
          <w:b/>
          <w:bCs/>
          <w:sz w:val="24"/>
          <w:szCs w:val="24"/>
        </w:rPr>
        <w:t xml:space="preserve">unanimously approved </w:t>
      </w:r>
      <w:r w:rsidR="00276ACF" w:rsidRPr="002D2A32">
        <w:rPr>
          <w:sz w:val="24"/>
          <w:szCs w:val="24"/>
        </w:rPr>
        <w:t xml:space="preserve">with </w:t>
      </w:r>
      <w:r w:rsidR="00276ACF" w:rsidRPr="002D2A32">
        <w:rPr>
          <w:b/>
          <w:bCs/>
          <w:sz w:val="24"/>
          <w:szCs w:val="24"/>
        </w:rPr>
        <w:t xml:space="preserve">five (5) contingencies </w:t>
      </w:r>
      <w:r w:rsidR="00276ACF" w:rsidRPr="002D2A32">
        <w:rPr>
          <w:sz w:val="24"/>
          <w:szCs w:val="24"/>
        </w:rPr>
        <w:t xml:space="preserve">(in bold above) </w:t>
      </w:r>
    </w:p>
    <w:p w14:paraId="3A293E50" w14:textId="1E5CF457" w:rsidR="002845F1" w:rsidRPr="002D2A32" w:rsidRDefault="002845F1" w:rsidP="002845F1">
      <w:pPr>
        <w:numPr>
          <w:ilvl w:val="0"/>
          <w:numId w:val="2"/>
        </w:numPr>
        <w:rPr>
          <w:sz w:val="24"/>
          <w:szCs w:val="24"/>
        </w:rPr>
      </w:pPr>
      <w:bookmarkStart w:id="0" w:name="_Hlk99103510"/>
      <w:r w:rsidRPr="002D2A32">
        <w:rPr>
          <w:sz w:val="24"/>
          <w:szCs w:val="24"/>
        </w:rPr>
        <w:t>Sustainable and Resilient Social and Ecological Systems</w:t>
      </w:r>
      <w:bookmarkEnd w:id="0"/>
      <w:r w:rsidRPr="002D2A32">
        <w:rPr>
          <w:sz w:val="24"/>
          <w:szCs w:val="24"/>
        </w:rPr>
        <w:t xml:space="preserve"> (new certificate; types 1A and 2)</w:t>
      </w:r>
    </w:p>
    <w:p w14:paraId="6F167ADB" w14:textId="0E91A489" w:rsidR="002845F1" w:rsidRPr="002D2A32" w:rsidRDefault="00AE4FEB" w:rsidP="002845F1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Panel requests that an assessment rubric be included in the proposal </w:t>
      </w:r>
      <w:r w:rsidR="008C1953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better understand </w:t>
      </w:r>
      <w:r w:rsidR="00E325B1">
        <w:rPr>
          <w:b/>
          <w:bCs/>
          <w:sz w:val="24"/>
          <w:szCs w:val="24"/>
        </w:rPr>
        <w:t>the grounds on which</w:t>
      </w:r>
      <w:r>
        <w:rPr>
          <w:b/>
          <w:bCs/>
          <w:sz w:val="24"/>
          <w:szCs w:val="24"/>
        </w:rPr>
        <w:t xml:space="preserve"> pre- and post-tests will be undertaken in relation to</w:t>
      </w:r>
      <w:r w:rsidR="00BD7622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ELOs</w:t>
      </w:r>
      <w:r w:rsidR="00BD7622">
        <w:rPr>
          <w:b/>
          <w:bCs/>
          <w:sz w:val="24"/>
          <w:szCs w:val="24"/>
        </w:rPr>
        <w:t xml:space="preserve"> of the certificate</w:t>
      </w:r>
      <w:r>
        <w:rPr>
          <w:b/>
          <w:bCs/>
          <w:sz w:val="24"/>
          <w:szCs w:val="24"/>
        </w:rPr>
        <w:t xml:space="preserve">. </w:t>
      </w:r>
    </w:p>
    <w:p w14:paraId="19C3170E" w14:textId="4C27137D" w:rsidR="00A57886" w:rsidRPr="00E325B1" w:rsidRDefault="0087061E" w:rsidP="002845F1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note that Anthropology 3051 must be fully approved before the certificate can advance to ASCC.  </w:t>
      </w:r>
    </w:p>
    <w:p w14:paraId="369C93E5" w14:textId="77777777" w:rsidR="00913AA7" w:rsidRPr="00913AA7" w:rsidRDefault="00E325B1" w:rsidP="002845F1">
      <w:pPr>
        <w:numPr>
          <w:ilvl w:val="1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The Panel strongly recommends including statement</w:t>
      </w:r>
      <w:r w:rsidR="00913AA7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on the advising sheet</w:t>
      </w:r>
      <w:r w:rsidR="00913AA7">
        <w:rPr>
          <w:i/>
          <w:iCs/>
          <w:sz w:val="24"/>
          <w:szCs w:val="24"/>
        </w:rPr>
        <w:t xml:space="preserve"> that address the following:</w:t>
      </w:r>
    </w:p>
    <w:p w14:paraId="220E6E63" w14:textId="77777777" w:rsidR="005B30EA" w:rsidRPr="005B30EA" w:rsidRDefault="00913AA7" w:rsidP="00913AA7">
      <w:pPr>
        <w:numPr>
          <w:ilvl w:val="2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E</w:t>
      </w:r>
      <w:r w:rsidR="00E325B1">
        <w:rPr>
          <w:i/>
          <w:iCs/>
          <w:sz w:val="24"/>
          <w:szCs w:val="24"/>
        </w:rPr>
        <w:t>ncourages students to work with their advisors early on in the process of pursuing this certificate</w:t>
      </w:r>
      <w:r>
        <w:rPr>
          <w:i/>
          <w:iCs/>
          <w:sz w:val="24"/>
          <w:szCs w:val="24"/>
        </w:rPr>
        <w:t xml:space="preserve"> in order to plan the most efficacious</w:t>
      </w:r>
      <w:r w:rsidR="005B30EA">
        <w:rPr>
          <w:i/>
          <w:iCs/>
          <w:sz w:val="24"/>
          <w:szCs w:val="24"/>
        </w:rPr>
        <w:t xml:space="preserve"> path to completion.</w:t>
      </w:r>
    </w:p>
    <w:p w14:paraId="12238684" w14:textId="35940F2F" w:rsidR="00E325B1" w:rsidRPr="002D2A32" w:rsidRDefault="005B30EA" w:rsidP="00913AA7">
      <w:pPr>
        <w:numPr>
          <w:ilvl w:val="2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Indicates that Anthropology 3050 functions as </w:t>
      </w:r>
      <w:r w:rsidR="00BD7622">
        <w:rPr>
          <w:i/>
          <w:iCs/>
          <w:sz w:val="24"/>
          <w:szCs w:val="24"/>
        </w:rPr>
        <w:t>the foundation course</w:t>
      </w:r>
      <w:r>
        <w:rPr>
          <w:i/>
          <w:iCs/>
          <w:sz w:val="24"/>
          <w:szCs w:val="24"/>
        </w:rPr>
        <w:t xml:space="preserve"> for the certificate, and thus students are encouraged to take this course first before moving on to other requirements.</w:t>
      </w:r>
      <w:r w:rsidR="00BD7622">
        <w:rPr>
          <w:i/>
          <w:iCs/>
          <w:sz w:val="24"/>
          <w:szCs w:val="24"/>
        </w:rPr>
        <w:t xml:space="preserve"> Anthropology 3051 is the capstone course should be taken at the end.</w:t>
      </w:r>
      <w:r>
        <w:rPr>
          <w:i/>
          <w:iCs/>
          <w:sz w:val="24"/>
          <w:szCs w:val="24"/>
        </w:rPr>
        <w:t xml:space="preserve"> </w:t>
      </w:r>
      <w:r w:rsidR="00913AA7">
        <w:rPr>
          <w:i/>
          <w:iCs/>
          <w:sz w:val="24"/>
          <w:szCs w:val="24"/>
        </w:rPr>
        <w:t xml:space="preserve"> </w:t>
      </w:r>
      <w:r w:rsidR="00E325B1">
        <w:rPr>
          <w:i/>
          <w:iCs/>
          <w:sz w:val="24"/>
          <w:szCs w:val="24"/>
        </w:rPr>
        <w:t xml:space="preserve"> </w:t>
      </w:r>
    </w:p>
    <w:p w14:paraId="55EBEADB" w14:textId="1D0C06CA" w:rsidR="00A57886" w:rsidRPr="002D2A32" w:rsidRDefault="00A57886" w:rsidP="00A57886">
      <w:pPr>
        <w:numPr>
          <w:ilvl w:val="1"/>
          <w:numId w:val="2"/>
        </w:numPr>
        <w:rPr>
          <w:sz w:val="24"/>
          <w:szCs w:val="24"/>
        </w:rPr>
      </w:pPr>
      <w:r w:rsidRPr="002D2A32">
        <w:rPr>
          <w:sz w:val="24"/>
          <w:szCs w:val="24"/>
        </w:rPr>
        <w:t xml:space="preserve">Guada, Vasey; </w:t>
      </w:r>
      <w:r w:rsidR="005D2636">
        <w:rPr>
          <w:b/>
          <w:bCs/>
          <w:sz w:val="24"/>
          <w:szCs w:val="24"/>
        </w:rPr>
        <w:t xml:space="preserve">unanimously approved </w:t>
      </w:r>
      <w:r w:rsidR="005D2636">
        <w:rPr>
          <w:sz w:val="24"/>
          <w:szCs w:val="24"/>
        </w:rPr>
        <w:t xml:space="preserve">with </w:t>
      </w:r>
      <w:r w:rsidR="000E41A2">
        <w:rPr>
          <w:b/>
          <w:bCs/>
          <w:sz w:val="24"/>
          <w:szCs w:val="24"/>
        </w:rPr>
        <w:t>two</w:t>
      </w:r>
      <w:r w:rsidR="005D2636">
        <w:rPr>
          <w:b/>
          <w:bCs/>
          <w:sz w:val="24"/>
          <w:szCs w:val="24"/>
        </w:rPr>
        <w:t xml:space="preserve"> (</w:t>
      </w:r>
      <w:r w:rsidR="000E41A2">
        <w:rPr>
          <w:b/>
          <w:bCs/>
          <w:sz w:val="24"/>
          <w:szCs w:val="24"/>
        </w:rPr>
        <w:t>2</w:t>
      </w:r>
      <w:r w:rsidR="005D2636">
        <w:rPr>
          <w:b/>
          <w:bCs/>
          <w:sz w:val="24"/>
          <w:szCs w:val="24"/>
        </w:rPr>
        <w:t xml:space="preserve">) contingencies </w:t>
      </w:r>
      <w:r w:rsidR="005D2636">
        <w:rPr>
          <w:sz w:val="24"/>
          <w:szCs w:val="24"/>
        </w:rPr>
        <w:t xml:space="preserve">(in bold above) and </w:t>
      </w:r>
      <w:r w:rsidR="005D2636">
        <w:rPr>
          <w:i/>
          <w:iCs/>
          <w:sz w:val="24"/>
          <w:szCs w:val="24"/>
        </w:rPr>
        <w:t xml:space="preserve">one (1) recommendation </w:t>
      </w:r>
      <w:r w:rsidR="005D2636">
        <w:rPr>
          <w:sz w:val="24"/>
          <w:szCs w:val="24"/>
        </w:rPr>
        <w:t xml:space="preserve">(in italics above) </w:t>
      </w:r>
    </w:p>
    <w:p w14:paraId="5B4847E2" w14:textId="4C7407D0" w:rsidR="002845F1" w:rsidRPr="002D2A32" w:rsidRDefault="002845F1" w:rsidP="002845F1">
      <w:pPr>
        <w:numPr>
          <w:ilvl w:val="0"/>
          <w:numId w:val="2"/>
        </w:numPr>
        <w:rPr>
          <w:sz w:val="24"/>
          <w:szCs w:val="24"/>
        </w:rPr>
      </w:pPr>
      <w:r w:rsidRPr="002D2A32">
        <w:rPr>
          <w:sz w:val="24"/>
          <w:szCs w:val="24"/>
        </w:rPr>
        <w:t>Anthropology 3051 (new course)</w:t>
      </w:r>
    </w:p>
    <w:p w14:paraId="1A5C91E7" w14:textId="7049CAC7" w:rsidR="002845F1" w:rsidRPr="002D2A32" w:rsidRDefault="008F6158" w:rsidP="002845F1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Panel requests that the syllabus include information outlining the expectations for the portfolio and portfolio presentation.  These assignments should reflect the goals of the </w:t>
      </w:r>
      <w:r w:rsidRPr="008F6158">
        <w:rPr>
          <w:b/>
          <w:bCs/>
          <w:sz w:val="24"/>
          <w:szCs w:val="24"/>
        </w:rPr>
        <w:t>Sustainable and Resilient Social and Ecological Systems</w:t>
      </w:r>
      <w:r>
        <w:rPr>
          <w:b/>
          <w:bCs/>
          <w:sz w:val="24"/>
          <w:szCs w:val="24"/>
        </w:rPr>
        <w:t xml:space="preserve"> Certificate</w:t>
      </w:r>
      <w:r w:rsidR="006A0553">
        <w:rPr>
          <w:b/>
          <w:bCs/>
          <w:sz w:val="24"/>
          <w:szCs w:val="24"/>
        </w:rPr>
        <w:t>, actively demonstrating how the expected outcomes of the certificate come through in the projects.  Also, a prompt articulating the pedagogical value of the portfolio and portfolio presentation would further illuminate the significance of these assignments for students.</w:t>
      </w:r>
    </w:p>
    <w:p w14:paraId="43727611" w14:textId="47367DEA" w:rsidR="000B3645" w:rsidRPr="002D2A32" w:rsidRDefault="00746658" w:rsidP="002845F1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revise the course calendar to include due dates, deadlines, and important benchmarks.  </w:t>
      </w:r>
    </w:p>
    <w:p w14:paraId="7B8C6391" w14:textId="3CC3AF51" w:rsidR="0049359D" w:rsidRPr="002D2A32" w:rsidRDefault="006334D9" w:rsidP="002845F1">
      <w:pPr>
        <w:numPr>
          <w:ilvl w:val="1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Panel kindly recommends </w:t>
      </w:r>
      <w:r w:rsidRPr="006334D9">
        <w:rPr>
          <w:i/>
          <w:iCs/>
          <w:sz w:val="24"/>
          <w:szCs w:val="24"/>
        </w:rPr>
        <w:t>includ</w:t>
      </w:r>
      <w:r>
        <w:rPr>
          <w:i/>
          <w:iCs/>
          <w:sz w:val="24"/>
          <w:szCs w:val="24"/>
        </w:rPr>
        <w:t>ing</w:t>
      </w:r>
      <w:r w:rsidRPr="006334D9">
        <w:rPr>
          <w:i/>
          <w:iCs/>
          <w:sz w:val="24"/>
          <w:szCs w:val="24"/>
        </w:rPr>
        <w:t xml:space="preserve"> a grading scale in the syllabus for student reference, while avoiding language that mentions an “OSU standard grading scheme,” as Ohio State does not have a standardized grading scheme.  </w:t>
      </w:r>
    </w:p>
    <w:p w14:paraId="76F3957F" w14:textId="7E14B568" w:rsidR="00E01130" w:rsidRPr="002D2A32" w:rsidRDefault="00E01130" w:rsidP="001E3437">
      <w:pPr>
        <w:numPr>
          <w:ilvl w:val="1"/>
          <w:numId w:val="2"/>
        </w:numPr>
        <w:spacing w:before="240"/>
        <w:rPr>
          <w:sz w:val="24"/>
          <w:szCs w:val="24"/>
        </w:rPr>
      </w:pPr>
      <w:r w:rsidRPr="002D2A32">
        <w:rPr>
          <w:sz w:val="24"/>
          <w:szCs w:val="24"/>
        </w:rPr>
        <w:t xml:space="preserve">Nathanson, Guada; </w:t>
      </w:r>
      <w:r w:rsidR="001E3437" w:rsidRPr="002D2A32">
        <w:rPr>
          <w:b/>
          <w:bCs/>
          <w:sz w:val="24"/>
          <w:szCs w:val="24"/>
        </w:rPr>
        <w:t xml:space="preserve">unanimously approved </w:t>
      </w:r>
      <w:r w:rsidR="001E3437" w:rsidRPr="002D2A32">
        <w:rPr>
          <w:sz w:val="24"/>
          <w:szCs w:val="24"/>
        </w:rPr>
        <w:t xml:space="preserve">with </w:t>
      </w:r>
      <w:r w:rsidR="001E3437" w:rsidRPr="002D2A32">
        <w:rPr>
          <w:b/>
          <w:bCs/>
          <w:sz w:val="24"/>
          <w:szCs w:val="24"/>
        </w:rPr>
        <w:t xml:space="preserve">two (2) contingencies </w:t>
      </w:r>
      <w:r w:rsidR="001E3437" w:rsidRPr="002D2A32">
        <w:rPr>
          <w:sz w:val="24"/>
          <w:szCs w:val="24"/>
        </w:rPr>
        <w:t xml:space="preserve">(in bold above) and </w:t>
      </w:r>
      <w:r w:rsidR="001E3437" w:rsidRPr="002D2A32">
        <w:rPr>
          <w:i/>
          <w:iCs/>
          <w:sz w:val="24"/>
          <w:szCs w:val="24"/>
        </w:rPr>
        <w:t xml:space="preserve">one (1) recommendation </w:t>
      </w:r>
      <w:r w:rsidR="001E3437" w:rsidRPr="002D2A32">
        <w:rPr>
          <w:sz w:val="24"/>
          <w:szCs w:val="24"/>
        </w:rPr>
        <w:t xml:space="preserve">(in italics above) </w:t>
      </w:r>
    </w:p>
    <w:p w14:paraId="7EFA8FE6" w14:textId="6C560E80" w:rsidR="002845F1" w:rsidRPr="002D2A32" w:rsidRDefault="002845F1" w:rsidP="002845F1">
      <w:pPr>
        <w:numPr>
          <w:ilvl w:val="0"/>
          <w:numId w:val="2"/>
        </w:numPr>
        <w:rPr>
          <w:sz w:val="24"/>
          <w:szCs w:val="24"/>
        </w:rPr>
      </w:pPr>
      <w:r w:rsidRPr="002D2A32">
        <w:rPr>
          <w:sz w:val="24"/>
          <w:szCs w:val="24"/>
        </w:rPr>
        <w:t>Political Science 4147 (new course requesting new GE Foundation: REGD) (return)</w:t>
      </w:r>
    </w:p>
    <w:p w14:paraId="3C773E8F" w14:textId="3F8B66A6" w:rsidR="002845F1" w:rsidRPr="002D2A32" w:rsidRDefault="00E3682A" w:rsidP="002845F1">
      <w:pPr>
        <w:numPr>
          <w:ilvl w:val="1"/>
          <w:numId w:val="2"/>
        </w:numPr>
        <w:rPr>
          <w:sz w:val="24"/>
          <w:szCs w:val="24"/>
        </w:rPr>
      </w:pPr>
      <w:r w:rsidRPr="002D2A32">
        <w:rPr>
          <w:sz w:val="24"/>
          <w:szCs w:val="24"/>
        </w:rPr>
        <w:t xml:space="preserve">Vasey, Guada; </w:t>
      </w:r>
      <w:r w:rsidR="00FB5C4F" w:rsidRPr="002D2A32">
        <w:rPr>
          <w:b/>
          <w:bCs/>
          <w:sz w:val="24"/>
          <w:szCs w:val="24"/>
        </w:rPr>
        <w:t>unanimously approved</w:t>
      </w:r>
    </w:p>
    <w:p w14:paraId="6D6F72D9" w14:textId="45A7C9BE" w:rsidR="002845F1" w:rsidRPr="002D2A32" w:rsidRDefault="002845F1" w:rsidP="002845F1">
      <w:pPr>
        <w:numPr>
          <w:ilvl w:val="0"/>
          <w:numId w:val="2"/>
        </w:numPr>
        <w:rPr>
          <w:sz w:val="24"/>
          <w:szCs w:val="24"/>
        </w:rPr>
      </w:pPr>
      <w:r w:rsidRPr="002D2A32">
        <w:rPr>
          <w:sz w:val="24"/>
          <w:szCs w:val="24"/>
        </w:rPr>
        <w:t>Political Science 7175 (new course) (return)</w:t>
      </w:r>
    </w:p>
    <w:p w14:paraId="3B537630" w14:textId="5DF71F44" w:rsidR="00723AE6" w:rsidRPr="00E06440" w:rsidRDefault="00775C5C" w:rsidP="00E06440">
      <w:pPr>
        <w:numPr>
          <w:ilvl w:val="1"/>
          <w:numId w:val="2"/>
        </w:numPr>
        <w:rPr>
          <w:sz w:val="24"/>
          <w:szCs w:val="24"/>
        </w:rPr>
      </w:pPr>
      <w:r w:rsidRPr="002D2A32">
        <w:rPr>
          <w:sz w:val="24"/>
          <w:szCs w:val="24"/>
        </w:rPr>
        <w:t xml:space="preserve">Nathanson, Guada; </w:t>
      </w:r>
      <w:r w:rsidR="00FB5C4F" w:rsidRPr="002D2A32">
        <w:rPr>
          <w:b/>
          <w:bCs/>
          <w:sz w:val="24"/>
          <w:szCs w:val="24"/>
        </w:rPr>
        <w:t>unanimously approved</w:t>
      </w:r>
    </w:p>
    <w:sectPr w:rsidR="00723AE6" w:rsidRPr="00E0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0C9"/>
    <w:multiLevelType w:val="multilevel"/>
    <w:tmpl w:val="39F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50C86"/>
    <w:multiLevelType w:val="multilevel"/>
    <w:tmpl w:val="AAE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02549"/>
    <w:multiLevelType w:val="multilevel"/>
    <w:tmpl w:val="149E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F1"/>
    <w:rsid w:val="00011654"/>
    <w:rsid w:val="00031F15"/>
    <w:rsid w:val="0004185B"/>
    <w:rsid w:val="000475EF"/>
    <w:rsid w:val="00052F97"/>
    <w:rsid w:val="00080893"/>
    <w:rsid w:val="000B3645"/>
    <w:rsid w:val="000C5A4E"/>
    <w:rsid w:val="000E41A2"/>
    <w:rsid w:val="000F3037"/>
    <w:rsid w:val="0010761C"/>
    <w:rsid w:val="00173FEE"/>
    <w:rsid w:val="001E3437"/>
    <w:rsid w:val="001F329E"/>
    <w:rsid w:val="00201B06"/>
    <w:rsid w:val="00235CE4"/>
    <w:rsid w:val="00276ACF"/>
    <w:rsid w:val="002845F1"/>
    <w:rsid w:val="002B1E10"/>
    <w:rsid w:val="002D2A32"/>
    <w:rsid w:val="00301A14"/>
    <w:rsid w:val="003177FB"/>
    <w:rsid w:val="003D454E"/>
    <w:rsid w:val="003D5E9F"/>
    <w:rsid w:val="00441A31"/>
    <w:rsid w:val="00480C1D"/>
    <w:rsid w:val="00491977"/>
    <w:rsid w:val="0049359D"/>
    <w:rsid w:val="00541B9C"/>
    <w:rsid w:val="005948FF"/>
    <w:rsid w:val="00595BBA"/>
    <w:rsid w:val="005967DE"/>
    <w:rsid w:val="005A4416"/>
    <w:rsid w:val="005B30EA"/>
    <w:rsid w:val="005D2636"/>
    <w:rsid w:val="005E252C"/>
    <w:rsid w:val="005F5F5D"/>
    <w:rsid w:val="00616B81"/>
    <w:rsid w:val="006334D9"/>
    <w:rsid w:val="00637D6D"/>
    <w:rsid w:val="006A0553"/>
    <w:rsid w:val="006A285E"/>
    <w:rsid w:val="0071788E"/>
    <w:rsid w:val="00723AE6"/>
    <w:rsid w:val="00746658"/>
    <w:rsid w:val="007541FF"/>
    <w:rsid w:val="00775C5C"/>
    <w:rsid w:val="007A01E2"/>
    <w:rsid w:val="0082563E"/>
    <w:rsid w:val="0085369C"/>
    <w:rsid w:val="00861155"/>
    <w:rsid w:val="0087061E"/>
    <w:rsid w:val="008819FA"/>
    <w:rsid w:val="008C1953"/>
    <w:rsid w:val="008F6158"/>
    <w:rsid w:val="00913AA7"/>
    <w:rsid w:val="00917DAE"/>
    <w:rsid w:val="009A07CD"/>
    <w:rsid w:val="009A2342"/>
    <w:rsid w:val="009A5C23"/>
    <w:rsid w:val="00A16F38"/>
    <w:rsid w:val="00A33911"/>
    <w:rsid w:val="00A57886"/>
    <w:rsid w:val="00AB7B28"/>
    <w:rsid w:val="00AC057D"/>
    <w:rsid w:val="00AE4FEB"/>
    <w:rsid w:val="00B0627D"/>
    <w:rsid w:val="00B94268"/>
    <w:rsid w:val="00BD7622"/>
    <w:rsid w:val="00BE4252"/>
    <w:rsid w:val="00C35E11"/>
    <w:rsid w:val="00C75555"/>
    <w:rsid w:val="00CA0492"/>
    <w:rsid w:val="00CA5DE9"/>
    <w:rsid w:val="00DD2821"/>
    <w:rsid w:val="00DD2E6F"/>
    <w:rsid w:val="00DF3B66"/>
    <w:rsid w:val="00E01130"/>
    <w:rsid w:val="00E06440"/>
    <w:rsid w:val="00E325B1"/>
    <w:rsid w:val="00E3682A"/>
    <w:rsid w:val="00E515ED"/>
    <w:rsid w:val="00E55D9F"/>
    <w:rsid w:val="00EC49DB"/>
    <w:rsid w:val="00EF6230"/>
    <w:rsid w:val="00F35328"/>
    <w:rsid w:val="00F81763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2C0E"/>
  <w15:chartTrackingRefBased/>
  <w15:docId w15:val="{1C4B08F3-2B75-43C0-9B4D-B9013A0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62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3B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3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4</cp:revision>
  <dcterms:created xsi:type="dcterms:W3CDTF">2022-04-07T15:51:00Z</dcterms:created>
  <dcterms:modified xsi:type="dcterms:W3CDTF">2022-04-08T19:01:00Z</dcterms:modified>
</cp:coreProperties>
</file>